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4800" w:firstLineChars="2000"/>
        <w:rPr>
          <w:rFonts w:hint="default" w:ascii="方正小标宋_GBK" w:hAnsi="宋体" w:eastAsia="方正小标宋_GBK"/>
          <w:bCs/>
          <w:sz w:val="24"/>
          <w:szCs w:val="24"/>
          <w:u w:val="single"/>
        </w:rPr>
      </w:pPr>
      <w:bookmarkStart w:id="0" w:name="_Hlk150192978"/>
      <w:r>
        <w:rPr>
          <w:rFonts w:ascii="方正小标宋_GBK" w:hAnsi="宋体" w:eastAsia="方正小标宋_GBK"/>
          <w:bCs/>
          <w:sz w:val="24"/>
          <w:szCs w:val="24"/>
        </w:rPr>
        <w:t>合同编号：</w:t>
      </w:r>
      <w:r>
        <w:rPr>
          <w:rFonts w:ascii="方正小标宋_GBK" w:hAnsi="宋体" w:eastAsia="方正小标宋_GBK"/>
          <w:bCs/>
          <w:sz w:val="24"/>
          <w:szCs w:val="24"/>
          <w:u w:val="single"/>
        </w:rPr>
        <w:t xml:space="preserve"> </w:t>
      </w:r>
      <w:r>
        <w:rPr>
          <w:rFonts w:hint="default" w:ascii="方正小标宋_GBK" w:hAnsi="宋体" w:eastAsia="方正小标宋_GBK"/>
          <w:bCs/>
          <w:sz w:val="24"/>
          <w:szCs w:val="24"/>
          <w:u w:val="single"/>
        </w:rPr>
        <w:t xml:space="preserve">                  </w:t>
      </w:r>
    </w:p>
    <w:bookmarkEnd w:id="0"/>
    <w:p>
      <w:pPr>
        <w:spacing w:before="312" w:beforeLines="100" w:after="312" w:afterLines="100"/>
        <w:ind w:firstLine="1120"/>
        <w:jc w:val="center"/>
        <w:rPr>
          <w:rFonts w:hint="default" w:ascii="方正小标宋_GBK" w:hAnsi="宋体" w:eastAsia="方正小标宋_GBK"/>
          <w:bCs/>
          <w:sz w:val="56"/>
          <w:szCs w:val="56"/>
        </w:rPr>
      </w:pPr>
      <w:r>
        <w:rPr>
          <w:rFonts w:ascii="方正小标宋_GBK" w:hAnsi="宋体" w:eastAsia="方正小标宋_GBK"/>
          <w:bCs/>
          <w:sz w:val="56"/>
          <w:szCs w:val="56"/>
        </w:rPr>
        <w:t>砂石销售合同</w:t>
      </w:r>
    </w:p>
    <w:p>
      <w:pPr>
        <w:spacing w:line="540" w:lineRule="exact"/>
        <w:rPr>
          <w:rFonts w:hint="default" w:ascii="方正黑体_GBK" w:hAnsi="仿宋" w:eastAsia="方正黑体_GBK"/>
          <w:sz w:val="32"/>
          <w:szCs w:val="32"/>
        </w:rPr>
      </w:pPr>
      <w:r>
        <w:rPr>
          <w:rFonts w:ascii="方正黑体_GBK" w:hAnsi="黑体" w:eastAsia="方正黑体_GBK"/>
          <w:sz w:val="32"/>
          <w:szCs w:val="32"/>
        </w:rPr>
        <w:t>供货方：</w:t>
      </w:r>
      <w:r>
        <w:rPr>
          <w:rFonts w:ascii="方正黑体_GBK" w:hAnsi="黑体" w:eastAsia="方正黑体_GBK"/>
          <w:sz w:val="32"/>
          <w:szCs w:val="32"/>
          <w:u w:val="single"/>
        </w:rPr>
        <w:t>松滋富美农业生态发展有限公司</w:t>
      </w:r>
      <w:r>
        <w:rPr>
          <w:rFonts w:ascii="方正黑体_GBK" w:hAnsi="黑体" w:eastAsia="方正黑体_GBK"/>
          <w:sz w:val="32"/>
          <w:szCs w:val="32"/>
        </w:rPr>
        <w:t>（</w:t>
      </w:r>
      <w:r>
        <w:rPr>
          <w:rFonts w:ascii="方正黑体_GBK" w:hAnsi="仿宋" w:eastAsia="方正黑体_GBK"/>
          <w:sz w:val="32"/>
          <w:szCs w:val="32"/>
        </w:rPr>
        <w:t>以下简称甲方）</w:t>
      </w:r>
    </w:p>
    <w:p>
      <w:pPr>
        <w:spacing w:line="540" w:lineRule="exact"/>
        <w:rPr>
          <w:rFonts w:hint="default" w:ascii="仿宋" w:hAnsi="仿宋" w:eastAsia="仿宋"/>
          <w:sz w:val="32"/>
          <w:szCs w:val="32"/>
        </w:rPr>
      </w:pPr>
      <w:r>
        <w:rPr>
          <w:rFonts w:ascii="仿宋" w:hAnsi="仿宋" w:eastAsia="仿宋"/>
          <w:sz w:val="32"/>
          <w:szCs w:val="32"/>
        </w:rPr>
        <w:t>统一社会信用代码：91421087MA49TT163R</w:t>
      </w:r>
    </w:p>
    <w:p>
      <w:pPr>
        <w:spacing w:line="540" w:lineRule="exact"/>
        <w:rPr>
          <w:rFonts w:hint="default" w:ascii="仿宋" w:hAnsi="仿宋" w:eastAsia="仿宋" w:cs="仿宋"/>
          <w:sz w:val="32"/>
          <w:szCs w:val="32"/>
        </w:rPr>
      </w:pPr>
      <w:r>
        <w:rPr>
          <w:rFonts w:ascii="仿宋" w:hAnsi="仿宋" w:eastAsia="仿宋" w:cs="仿宋"/>
          <w:sz w:val="32"/>
          <w:szCs w:val="32"/>
        </w:rPr>
        <w:t>注册地址：湖北省荆州市松滋市新江口街道西流村一组168号3楼</w:t>
      </w:r>
    </w:p>
    <w:p>
      <w:pPr>
        <w:spacing w:line="540" w:lineRule="exact"/>
        <w:rPr>
          <w:rFonts w:hint="default" w:ascii="仿宋" w:hAnsi="仿宋" w:eastAsia="仿宋" w:cs="仿宋"/>
          <w:sz w:val="32"/>
          <w:szCs w:val="32"/>
        </w:rPr>
      </w:pPr>
      <w:r>
        <w:rPr>
          <w:rFonts w:ascii="仿宋" w:hAnsi="仿宋" w:eastAsia="仿宋" w:cs="仿宋"/>
          <w:sz w:val="32"/>
          <w:szCs w:val="32"/>
        </w:rPr>
        <w:t>邮编：434200</w:t>
      </w:r>
    </w:p>
    <w:p>
      <w:pPr>
        <w:spacing w:line="540" w:lineRule="exact"/>
        <w:rPr>
          <w:rFonts w:hint="default" w:ascii="仿宋" w:hAnsi="仿宋" w:eastAsia="仿宋" w:cs="仿宋"/>
          <w:sz w:val="32"/>
          <w:szCs w:val="32"/>
        </w:rPr>
      </w:pPr>
      <w:r>
        <w:rPr>
          <w:rFonts w:ascii="仿宋" w:hAnsi="仿宋" w:eastAsia="仿宋" w:cs="仿宋"/>
          <w:sz w:val="32"/>
          <w:szCs w:val="32"/>
        </w:rPr>
        <w:t>法定代表人：王晓东</w:t>
      </w:r>
    </w:p>
    <w:p>
      <w:pPr>
        <w:spacing w:line="540" w:lineRule="exact"/>
        <w:rPr>
          <w:rFonts w:hint="default" w:ascii="仿宋" w:hAnsi="仿宋" w:eastAsia="仿宋" w:cs="仿宋"/>
          <w:sz w:val="32"/>
          <w:szCs w:val="32"/>
        </w:rPr>
      </w:pPr>
      <w:r>
        <w:rPr>
          <w:rFonts w:ascii="仿宋" w:hAnsi="仿宋" w:eastAsia="仿宋" w:cs="仿宋"/>
          <w:sz w:val="32"/>
          <w:szCs w:val="32"/>
        </w:rPr>
        <w:t>联系电话：0716-6698766</w:t>
      </w:r>
    </w:p>
    <w:p>
      <w:pPr>
        <w:spacing w:line="540" w:lineRule="exact"/>
        <w:rPr>
          <w:rFonts w:hint="default" w:ascii="仿宋" w:hAnsi="仿宋" w:eastAsia="仿宋" w:cs="仿宋"/>
          <w:sz w:val="32"/>
          <w:szCs w:val="32"/>
        </w:rPr>
      </w:pPr>
      <w:r>
        <w:rPr>
          <w:rFonts w:ascii="仿宋" w:hAnsi="仿宋" w:eastAsia="仿宋" w:cs="仿宋"/>
          <w:sz w:val="32"/>
          <w:szCs w:val="32"/>
        </w:rPr>
        <w:t>户名：松滋富美农业生态发展有限公司</w:t>
      </w:r>
    </w:p>
    <w:p>
      <w:pPr>
        <w:spacing w:line="540" w:lineRule="exact"/>
        <w:rPr>
          <w:rFonts w:hint="default" w:ascii="仿宋" w:hAnsi="仿宋" w:eastAsia="仿宋" w:cs="仿宋"/>
          <w:sz w:val="32"/>
          <w:szCs w:val="32"/>
        </w:rPr>
      </w:pPr>
      <w:r>
        <w:rPr>
          <w:rFonts w:ascii="仿宋" w:hAnsi="仿宋" w:eastAsia="仿宋" w:cs="仿宋"/>
          <w:sz w:val="32"/>
          <w:szCs w:val="32"/>
        </w:rPr>
        <w:t>开户银行：</w:t>
      </w:r>
      <w:r>
        <w:rPr>
          <w:rFonts w:hint="default" w:ascii="Times New Roman" w:hAnsi="Times New Roman" w:eastAsia="方正仿宋_GBK" w:cs="Times New Roman"/>
          <w:sz w:val="30"/>
          <w:szCs w:val="30"/>
          <w:shd w:val="clear" w:color="auto" w:fill="FFFFFF"/>
        </w:rPr>
        <w:t>湖北松滋农村商业银行信达支行</w:t>
      </w:r>
    </w:p>
    <w:p>
      <w:pPr>
        <w:spacing w:line="540" w:lineRule="exact"/>
        <w:rPr>
          <w:rFonts w:hint="default" w:ascii="仿宋" w:hAnsi="仿宋" w:eastAsia="仿宋"/>
          <w:sz w:val="32"/>
          <w:szCs w:val="32"/>
        </w:rPr>
      </w:pPr>
      <w:r>
        <w:rPr>
          <w:rFonts w:ascii="仿宋" w:hAnsi="仿宋" w:eastAsia="仿宋"/>
          <w:sz w:val="32"/>
          <w:szCs w:val="32"/>
        </w:rPr>
        <w:t>账号：</w:t>
      </w:r>
      <w:r>
        <w:rPr>
          <w:rFonts w:hint="default" w:ascii="仿宋" w:hAnsi="仿宋" w:eastAsia="仿宋"/>
          <w:sz w:val="32"/>
          <w:szCs w:val="32"/>
        </w:rPr>
        <w:t>82010000005391915</w:t>
      </w:r>
    </w:p>
    <w:p>
      <w:pPr>
        <w:spacing w:line="540" w:lineRule="exact"/>
        <w:rPr>
          <w:rFonts w:hint="default" w:ascii="仿宋" w:hAnsi="仿宋" w:eastAsia="仿宋"/>
          <w:sz w:val="32"/>
          <w:szCs w:val="32"/>
        </w:rPr>
      </w:pPr>
    </w:p>
    <w:p>
      <w:pPr>
        <w:spacing w:line="540" w:lineRule="exact"/>
        <w:rPr>
          <w:rFonts w:hint="default" w:ascii="方正黑体_GBK" w:hAnsi="仿宋" w:eastAsia="方正黑体_GBK"/>
          <w:sz w:val="32"/>
          <w:szCs w:val="32"/>
        </w:rPr>
      </w:pPr>
      <w:r>
        <w:rPr>
          <w:rFonts w:ascii="方正黑体_GBK" w:hAnsi="黑体" w:eastAsia="方正黑体_GBK"/>
          <w:sz w:val="32"/>
          <w:szCs w:val="32"/>
        </w:rPr>
        <w:t>购货方：</w:t>
      </w:r>
      <w:r>
        <w:rPr>
          <w:rFonts w:ascii="方正黑体_GBK" w:hAnsi="黑体" w:eastAsia="方正黑体_GBK"/>
          <w:sz w:val="32"/>
          <w:szCs w:val="32"/>
          <w:u w:val="single"/>
        </w:rPr>
        <w:t xml:space="preserve">                  </w:t>
      </w:r>
      <w:r>
        <w:rPr>
          <w:rFonts w:ascii="方正黑体_GBK" w:hAnsi="仿宋" w:eastAsia="方正黑体_GBK"/>
          <w:sz w:val="32"/>
          <w:szCs w:val="32"/>
        </w:rPr>
        <w:t>（以下简称乙方）</w:t>
      </w:r>
    </w:p>
    <w:p>
      <w:pPr>
        <w:spacing w:line="540" w:lineRule="exact"/>
        <w:rPr>
          <w:rFonts w:hint="default" w:ascii="仿宋" w:hAnsi="仿宋" w:eastAsia="仿宋"/>
          <w:sz w:val="32"/>
          <w:szCs w:val="32"/>
        </w:rPr>
      </w:pPr>
      <w:r>
        <w:rPr>
          <w:rFonts w:ascii="仿宋" w:hAnsi="仿宋" w:eastAsia="仿宋"/>
          <w:sz w:val="32"/>
          <w:szCs w:val="32"/>
        </w:rPr>
        <w:t>统一社会信用代码：</w:t>
      </w:r>
    </w:p>
    <w:p>
      <w:pPr>
        <w:spacing w:line="540" w:lineRule="exact"/>
        <w:rPr>
          <w:rFonts w:hint="default" w:ascii="仿宋" w:hAnsi="仿宋" w:eastAsia="仿宋"/>
          <w:sz w:val="32"/>
          <w:szCs w:val="32"/>
        </w:rPr>
      </w:pPr>
      <w:r>
        <w:rPr>
          <w:rFonts w:ascii="仿宋" w:hAnsi="仿宋" w:eastAsia="仿宋"/>
          <w:sz w:val="32"/>
          <w:szCs w:val="32"/>
        </w:rPr>
        <w:t>注册地址：</w:t>
      </w:r>
    </w:p>
    <w:p>
      <w:pPr>
        <w:spacing w:line="540" w:lineRule="exact"/>
        <w:rPr>
          <w:rFonts w:hint="default" w:ascii="仿宋" w:hAnsi="仿宋" w:eastAsia="仿宋"/>
          <w:sz w:val="32"/>
          <w:szCs w:val="32"/>
        </w:rPr>
      </w:pPr>
      <w:r>
        <w:rPr>
          <w:rFonts w:ascii="仿宋" w:hAnsi="仿宋" w:eastAsia="仿宋"/>
          <w:sz w:val="32"/>
          <w:szCs w:val="32"/>
        </w:rPr>
        <w:t>邮编：</w:t>
      </w:r>
    </w:p>
    <w:p>
      <w:pPr>
        <w:spacing w:line="540" w:lineRule="exact"/>
        <w:rPr>
          <w:rFonts w:hint="default" w:ascii="仿宋" w:hAnsi="仿宋" w:eastAsia="仿宋"/>
          <w:sz w:val="32"/>
          <w:szCs w:val="32"/>
        </w:rPr>
      </w:pPr>
      <w:r>
        <w:rPr>
          <w:rFonts w:ascii="仿宋" w:hAnsi="仿宋" w:eastAsia="仿宋"/>
          <w:sz w:val="32"/>
          <w:szCs w:val="32"/>
        </w:rPr>
        <w:t>法定代表人：</w:t>
      </w:r>
    </w:p>
    <w:p>
      <w:pPr>
        <w:spacing w:line="540" w:lineRule="exact"/>
        <w:rPr>
          <w:rFonts w:hint="default" w:ascii="仿宋" w:hAnsi="仿宋" w:eastAsia="仿宋"/>
          <w:sz w:val="32"/>
          <w:szCs w:val="32"/>
        </w:rPr>
      </w:pPr>
      <w:r>
        <w:rPr>
          <w:rFonts w:ascii="仿宋" w:hAnsi="仿宋" w:eastAsia="仿宋"/>
          <w:sz w:val="32"/>
          <w:szCs w:val="32"/>
        </w:rPr>
        <w:t>联系人及电话：</w:t>
      </w:r>
    </w:p>
    <w:p>
      <w:pPr>
        <w:spacing w:line="540" w:lineRule="exact"/>
        <w:rPr>
          <w:rFonts w:hint="default" w:ascii="仿宋" w:hAnsi="仿宋" w:eastAsia="仿宋"/>
          <w:sz w:val="32"/>
          <w:szCs w:val="32"/>
        </w:rPr>
      </w:pPr>
      <w:r>
        <w:rPr>
          <w:rFonts w:ascii="仿宋" w:hAnsi="仿宋" w:eastAsia="仿宋"/>
          <w:sz w:val="32"/>
          <w:szCs w:val="32"/>
        </w:rPr>
        <w:t>户名：</w:t>
      </w:r>
    </w:p>
    <w:p>
      <w:pPr>
        <w:spacing w:line="540" w:lineRule="exact"/>
        <w:rPr>
          <w:rFonts w:hint="default" w:ascii="仿宋" w:hAnsi="仿宋" w:eastAsia="仿宋"/>
          <w:sz w:val="32"/>
          <w:szCs w:val="32"/>
        </w:rPr>
      </w:pPr>
      <w:r>
        <w:rPr>
          <w:rFonts w:ascii="仿宋" w:hAnsi="仿宋" w:eastAsia="仿宋"/>
          <w:sz w:val="32"/>
          <w:szCs w:val="32"/>
        </w:rPr>
        <w:t>开户银行：</w:t>
      </w:r>
    </w:p>
    <w:p>
      <w:pPr>
        <w:spacing w:line="540" w:lineRule="exact"/>
        <w:rPr>
          <w:rFonts w:hint="default" w:ascii="仿宋" w:hAnsi="仿宋" w:eastAsia="仿宋"/>
          <w:sz w:val="32"/>
          <w:szCs w:val="32"/>
        </w:rPr>
      </w:pPr>
      <w:r>
        <w:rPr>
          <w:rFonts w:ascii="仿宋" w:hAnsi="仿宋" w:eastAsia="仿宋"/>
          <w:sz w:val="32"/>
          <w:szCs w:val="32"/>
        </w:rPr>
        <w:t>账号：</w:t>
      </w:r>
    </w:p>
    <w:p>
      <w:pPr>
        <w:spacing w:line="540" w:lineRule="exact"/>
        <w:ind w:firstLine="640"/>
        <w:rPr>
          <w:rFonts w:hint="default" w:ascii="仿宋" w:hAnsi="仿宋" w:eastAsia="仿宋"/>
          <w:sz w:val="32"/>
          <w:szCs w:val="32"/>
        </w:rPr>
      </w:pPr>
    </w:p>
    <w:p>
      <w:pPr>
        <w:spacing w:line="540" w:lineRule="exact"/>
        <w:ind w:firstLine="640"/>
        <w:rPr>
          <w:rFonts w:hint="default"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360" w:lineRule="auto"/>
        <w:ind w:firstLine="640" w:firstLineChars="200"/>
        <w:rPr>
          <w:rFonts w:hint="default" w:ascii="方正仿宋_GBK" w:hAnsi="仿宋" w:eastAsia="方正仿宋_GBK"/>
          <w:sz w:val="32"/>
          <w:szCs w:val="32"/>
        </w:rPr>
      </w:pPr>
      <w:r>
        <w:rPr>
          <w:rFonts w:ascii="方正仿宋_GBK" w:hAnsi="仿宋" w:eastAsia="方正仿宋_GBK"/>
          <w:sz w:val="32"/>
          <w:szCs w:val="32"/>
        </w:rPr>
        <w:t>鉴于乙方已成为甲方</w:t>
      </w:r>
      <w:r>
        <w:rPr>
          <w:rFonts w:ascii="方正仿宋_GBK" w:hAnsi="仿宋" w:eastAsia="方正仿宋_GBK"/>
          <w:sz w:val="32"/>
          <w:szCs w:val="32"/>
          <w:u w:val="single"/>
        </w:rPr>
        <w:t xml:space="preserve"> 永久采区 </w:t>
      </w:r>
      <w:r>
        <w:rPr>
          <w:rFonts w:ascii="方正仿宋_GBK" w:hAnsi="仿宋" w:eastAsia="方正仿宋_GBK"/>
          <w:sz w:val="32"/>
          <w:szCs w:val="32"/>
        </w:rPr>
        <w:t>砂石购货方，根据《中华人民共和国民法典》等有关法律、法规和相关政策规定，甲乙双方在平等、自愿、协商一致的基础上，就乙方向甲方购买砂石事项签订本合同。</w:t>
      </w:r>
    </w:p>
    <w:p>
      <w:pPr>
        <w:spacing w:line="360" w:lineRule="auto"/>
        <w:ind w:firstLine="640" w:firstLineChars="200"/>
        <w:rPr>
          <w:rFonts w:hint="default" w:ascii="黑体" w:hAnsi="黑体" w:eastAsia="黑体"/>
          <w:sz w:val="32"/>
          <w:szCs w:val="32"/>
        </w:rPr>
      </w:pPr>
      <w:r>
        <w:rPr>
          <w:rFonts w:ascii="黑体" w:hAnsi="黑体" w:eastAsia="黑体"/>
          <w:sz w:val="32"/>
          <w:szCs w:val="32"/>
        </w:rPr>
        <w:t>一、砂石质量</w:t>
      </w:r>
    </w:p>
    <w:p>
      <w:pPr>
        <w:spacing w:line="360" w:lineRule="auto"/>
        <w:ind w:firstLine="640" w:firstLineChars="200"/>
        <w:rPr>
          <w:rFonts w:hint="default" w:ascii="仿宋" w:hAnsi="仿宋" w:eastAsia="仿宋"/>
          <w:sz w:val="32"/>
          <w:szCs w:val="32"/>
        </w:rPr>
      </w:pPr>
      <w:r>
        <w:rPr>
          <w:rFonts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进行购买前已自行对砂石进行勘察调研，乙方签订本合同并缴纳购砂款的行为表明已经完全了解砂石质量可能存在的风险，合同执行过程中不得以砂石质量不满足国家及行业标准、拟用领域期待标准和相关规定为由要求甲方承担质量瑕疵责任、降低购货价格或解除合同。</w:t>
      </w:r>
    </w:p>
    <w:p>
      <w:pPr>
        <w:spacing w:line="360" w:lineRule="auto"/>
        <w:ind w:firstLine="640" w:firstLineChars="200"/>
        <w:outlineLvl w:val="0"/>
        <w:rPr>
          <w:rFonts w:hint="default" w:ascii="方正黑体_GBK" w:hAnsi="方正黑体_GBK" w:eastAsia="方正黑体_GBK" w:cs="方正黑体_GBK"/>
          <w:sz w:val="32"/>
          <w:szCs w:val="32"/>
        </w:rPr>
      </w:pPr>
      <w:r>
        <w:rPr>
          <w:rFonts w:ascii="黑体" w:hAnsi="黑体" w:eastAsia="黑体"/>
          <w:sz w:val="32"/>
          <w:szCs w:val="32"/>
        </w:rPr>
        <w:t>二、</w:t>
      </w:r>
      <w:r>
        <w:rPr>
          <w:rFonts w:ascii="方正黑体_GBK" w:hAnsi="方正黑体_GBK" w:eastAsia="方正黑体_GBK" w:cs="方正黑体_GBK"/>
          <w:sz w:val="32"/>
          <w:szCs w:val="32"/>
        </w:rPr>
        <w:t>砂石数量及价格</w:t>
      </w:r>
    </w:p>
    <w:p>
      <w:pPr>
        <w:spacing w:line="360" w:lineRule="auto"/>
        <w:ind w:firstLine="640" w:firstLineChars="200"/>
        <w:jc w:val="left"/>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（一）销售量：</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吨。</w:t>
      </w:r>
    </w:p>
    <w:p>
      <w:pPr>
        <w:spacing w:line="360" w:lineRule="auto"/>
        <w:ind w:firstLine="640" w:firstLineChars="200"/>
        <w:jc w:val="left"/>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（二）销售价格：</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元/吨（含税）。</w:t>
      </w:r>
    </w:p>
    <w:p>
      <w:pPr>
        <w:spacing w:line="360" w:lineRule="auto"/>
        <w:ind w:firstLine="640" w:firstLineChars="200"/>
        <w:jc w:val="left"/>
        <w:rPr>
          <w:rFonts w:hint="default" w:ascii="Times New Roman" w:hAnsi="Times New Roman" w:eastAsia="方正仿宋_GBK" w:cs="Times New Roman"/>
          <w:sz w:val="32"/>
          <w:szCs w:val="32"/>
          <w:u w:val="single"/>
        </w:rPr>
      </w:pPr>
      <w:r>
        <w:rPr>
          <w:rFonts w:ascii="Times New Roman" w:hAnsi="Times New Roman" w:eastAsia="方正仿宋_GBK" w:cs="Times New Roman"/>
          <w:sz w:val="32"/>
          <w:szCs w:val="32"/>
        </w:rPr>
        <w:t>（三）购砂款：</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 xml:space="preserve">元（大写： </w:t>
      </w: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w:t>
      </w:r>
    </w:p>
    <w:p>
      <w:pPr>
        <w:spacing w:line="360" w:lineRule="auto"/>
        <w:ind w:firstLine="640" w:firstLineChars="200"/>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（四）甲方与乙方交易完成且结算完毕后10个工作日内向乙方开具增值税专用发票（税率为 3% ），如在交易过程中乙方需提前开具已交付砂石数量对应</w:t>
      </w:r>
      <w:r>
        <w:rPr>
          <w:rFonts w:ascii="仿宋" w:hAnsi="仿宋" w:eastAsia="仿宋"/>
          <w:sz w:val="32"/>
          <w:szCs w:val="32"/>
        </w:rPr>
        <w:t>金额</w:t>
      </w:r>
      <w:r>
        <w:rPr>
          <w:rFonts w:ascii="Times New Roman" w:hAnsi="Times New Roman" w:eastAsia="方正仿宋_GBK" w:cs="Times New Roman"/>
          <w:sz w:val="32"/>
          <w:szCs w:val="32"/>
        </w:rPr>
        <w:t>的增值税专用发票的，可提前与甲方协商。</w:t>
      </w:r>
    </w:p>
    <w:p>
      <w:pPr>
        <w:spacing w:line="360" w:lineRule="auto"/>
        <w:ind w:firstLine="640" w:firstLineChars="200"/>
        <w:rPr>
          <w:rFonts w:hint="default" w:ascii="仿宋" w:hAnsi="仿宋" w:eastAsia="仿宋"/>
          <w:sz w:val="32"/>
          <w:szCs w:val="32"/>
        </w:rPr>
      </w:pPr>
      <w:r>
        <w:rPr>
          <w:rFonts w:ascii="黑体" w:hAnsi="黑体" w:eastAsia="黑体"/>
          <w:sz w:val="32"/>
          <w:szCs w:val="32"/>
        </w:rPr>
        <w:t>三、交易期限</w:t>
      </w:r>
    </w:p>
    <w:p>
      <w:pPr>
        <w:spacing w:line="360" w:lineRule="auto"/>
        <w:ind w:firstLine="640" w:firstLineChars="200"/>
        <w:rPr>
          <w:rFonts w:hint="default" w:ascii="仿宋" w:hAnsi="仿宋" w:eastAsia="仿宋"/>
          <w:sz w:val="32"/>
          <w:szCs w:val="32"/>
        </w:rPr>
      </w:pPr>
      <w:r>
        <w:rPr>
          <w:rFonts w:ascii="仿宋" w:hAnsi="仿宋" w:eastAsia="仿宋"/>
          <w:sz w:val="32"/>
          <w:szCs w:val="32"/>
        </w:rPr>
        <w:t>砂石交易期限为自供货之日起</w:t>
      </w:r>
      <w:r>
        <w:rPr>
          <w:rFonts w:hint="eastAsia" w:ascii="仿宋" w:hAnsi="仿宋" w:eastAsia="仿宋"/>
          <w:sz w:val="32"/>
          <w:szCs w:val="32"/>
          <w:lang w:eastAsia="zh-CN"/>
        </w:rPr>
        <w:t>（</w:t>
      </w:r>
      <w:r>
        <w:rPr>
          <w:rFonts w:ascii="Times New Roman" w:hAnsi="Times New Roman" w:eastAsia="方正仿宋_GBK" w:cs="Times New Roman"/>
          <w:sz w:val="32"/>
          <w:szCs w:val="32"/>
        </w:rPr>
        <w:t>销售量</w:t>
      </w:r>
      <w:r>
        <w:rPr>
          <w:rFonts w:hint="eastAsia" w:ascii="Times New Roman" w:hAnsi="Times New Roman" w:eastAsia="方正仿宋_GBK" w:cs="Times New Roman"/>
          <w:sz w:val="32"/>
          <w:szCs w:val="32"/>
          <w:lang w:val="en-US" w:eastAsia="zh-CN"/>
        </w:rPr>
        <w:t>/8000）</w:t>
      </w:r>
      <w:r>
        <w:rPr>
          <w:rFonts w:hint="eastAsia" w:ascii="仿宋" w:hAnsi="仿宋" w:eastAsia="仿宋"/>
          <w:sz w:val="32"/>
          <w:szCs w:val="32"/>
          <w:u w:val="single"/>
          <w:lang w:val="en-US" w:eastAsia="zh-CN"/>
        </w:rPr>
        <w:t xml:space="preserve">  </w:t>
      </w:r>
      <w:bookmarkStart w:id="5" w:name="_GoBack"/>
      <w:bookmarkEnd w:id="5"/>
      <w:r>
        <w:rPr>
          <w:rFonts w:ascii="仿宋" w:hAnsi="仿宋" w:eastAsia="仿宋"/>
          <w:sz w:val="32"/>
          <w:szCs w:val="32"/>
        </w:rPr>
        <w:t>天，实际供货之日以甲方或授权方通知或公告为准。</w:t>
      </w:r>
    </w:p>
    <w:p>
      <w:pPr>
        <w:spacing w:line="360" w:lineRule="auto"/>
        <w:ind w:firstLine="640" w:firstLineChars="200"/>
        <w:rPr>
          <w:rFonts w:hint="default" w:ascii="黑体" w:hAnsi="黑体" w:eastAsia="黑体"/>
          <w:sz w:val="32"/>
          <w:szCs w:val="32"/>
        </w:rPr>
      </w:pPr>
      <w:r>
        <w:rPr>
          <w:rFonts w:ascii="黑体" w:hAnsi="黑体" w:eastAsia="黑体"/>
          <w:sz w:val="32"/>
          <w:szCs w:val="32"/>
        </w:rPr>
        <w:t>四、计量方法和标准</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（一）由现场各方代表共同测量干舷，参照“吃水/参考载货量对照表”计量船舶载货吨位，不再另行扣除除水除杂率。</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（二）以河道采砂行政主管部门审核确认后开具的湖北省河道砂石采运管理单作为交货计量依据，实际交货量以甲方审核确认后开具的纸质单据为准。</w:t>
      </w:r>
    </w:p>
    <w:p>
      <w:pPr>
        <w:spacing w:line="360" w:lineRule="auto"/>
        <w:ind w:firstLine="640" w:firstLineChars="200"/>
        <w:rPr>
          <w:rFonts w:hint="default" w:ascii="黑体" w:hAnsi="黑体" w:eastAsia="黑体"/>
          <w:sz w:val="32"/>
          <w:szCs w:val="32"/>
        </w:rPr>
      </w:pPr>
      <w:r>
        <w:rPr>
          <w:rFonts w:ascii="黑体" w:hAnsi="黑体" w:eastAsia="黑体"/>
          <w:sz w:val="32"/>
          <w:szCs w:val="32"/>
        </w:rPr>
        <w:t>五、砂石交付</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（一）乙方应提前联系甲方砂石交付地负责人沟通砂石交付事宜，否则造成砂石延时交付的责任由乙方承担。</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二）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（三）本采区交货配载实行“排档叫号”的现场接驳交付方式，自签订本合同后，乙方应将拟进场接驳的船舶及拟委派现场工作人员向甲方报备登记，登记时乙方应提供船舶的 “吃水/参考载货量对照表”和“船舶静水力计算书”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360" w:lineRule="auto"/>
        <w:ind w:firstLine="640" w:firstLineChars="200"/>
        <w:rPr>
          <w:rFonts w:hint="default" w:ascii="仿宋" w:hAnsi="仿宋" w:eastAsia="仿宋"/>
          <w:sz w:val="32"/>
          <w:szCs w:val="32"/>
        </w:rPr>
      </w:pPr>
      <w:r>
        <w:rPr>
          <w:rFonts w:ascii="仿宋" w:hAnsi="仿宋" w:eastAsia="仿宋"/>
          <w:sz w:val="32"/>
          <w:szCs w:val="32"/>
        </w:rPr>
        <w:t>（四）甲方按已报备船舶到达集中等驳水域的先后顺序（以AIS信息为准）进行排号交货。船舶到达采区后应全程开启AIS，在接到甲方生产调度通知后，乙方必须按排号顺序进行接驳受货。如出现插队现象或其他原因导致无法按时接驳的，则此排号作废，该船舶需重新进行排号并依序接驳受货。</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（五）乙方在接货、运输期间发生的一切安全事故均由乙方承担责任并自行负责解决，甲方概不负责。</w:t>
      </w:r>
    </w:p>
    <w:p>
      <w:pPr>
        <w:spacing w:line="360" w:lineRule="auto"/>
        <w:ind w:firstLine="640" w:firstLineChars="200"/>
        <w:rPr>
          <w:rFonts w:hint="default" w:ascii="仿宋" w:hAnsi="仿宋" w:eastAsia="仿宋"/>
          <w:sz w:val="32"/>
          <w:szCs w:val="32"/>
        </w:rPr>
      </w:pPr>
      <w:r>
        <w:rPr>
          <w:rFonts w:ascii="仿宋" w:hAnsi="仿宋" w:eastAsia="仿宋"/>
          <w:sz w:val="32"/>
          <w:szCs w:val="32"/>
        </w:rPr>
        <w:t>（六）自交付之时起，砂石毁损、灭失的风险归由乙方，砂石交付后产生的法律、行政、民事责任均由乙方自行承担，甲方概不负责。</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（七）砂石配载完毕即视为交货，不予退货。</w:t>
      </w:r>
    </w:p>
    <w:p>
      <w:pPr>
        <w:spacing w:line="360" w:lineRule="auto"/>
        <w:ind w:firstLine="640" w:firstLineChars="200"/>
        <w:rPr>
          <w:rFonts w:hint="default" w:ascii="仿宋" w:hAnsi="仿宋" w:eastAsia="仿宋"/>
          <w:sz w:val="32"/>
          <w:szCs w:val="32"/>
        </w:rPr>
      </w:pPr>
      <w:r>
        <w:rPr>
          <w:rFonts w:ascii="黑体" w:hAnsi="黑体" w:eastAsia="黑体"/>
          <w:sz w:val="32"/>
          <w:szCs w:val="32"/>
        </w:rPr>
        <w:t>六、运输机具黑名单制度</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（一）乙方委托的船舶如未经干舷复核就离开采区的，将纳入甲方接驳船舶黑名单，甲方有权暂停向乙方供应砂石，且可单方面解除合同。</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（二）乙方委托的船舶需严格按照接驳时接驳点的水深条件合理调配运输接驳船，控制船舶型深与接驳量，如未按行政主管部门要求执行出现了安全事故等</w:t>
      </w:r>
      <w:bookmarkStart w:id="1" w:name="_Hlk149591627"/>
      <w:r>
        <w:rPr>
          <w:rFonts w:ascii="仿宋" w:hAnsi="仿宋" w:eastAsia="仿宋"/>
          <w:sz w:val="32"/>
          <w:szCs w:val="32"/>
        </w:rPr>
        <w:t>，甲方可单方面解除合同</w:t>
      </w:r>
      <w:bookmarkEnd w:id="1"/>
      <w:r>
        <w:rPr>
          <w:rFonts w:ascii="仿宋" w:hAnsi="仿宋" w:eastAsia="仿宋"/>
          <w:sz w:val="32"/>
          <w:szCs w:val="32"/>
        </w:rPr>
        <w:t>。</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（三）已报备船舶到达采区后需全程开启AIS，如该船舶经甲方、海事或水行政主管部门等提醒三次以上后仍未开启AIS的，则该船舶将被纳入甲方运输机具黑名单。</w:t>
      </w:r>
    </w:p>
    <w:p>
      <w:pPr>
        <w:spacing w:line="360" w:lineRule="auto"/>
        <w:ind w:firstLine="640" w:firstLineChars="200"/>
        <w:rPr>
          <w:rFonts w:hint="default" w:ascii="仿宋" w:hAnsi="仿宋" w:eastAsia="仿宋"/>
          <w:sz w:val="32"/>
          <w:szCs w:val="32"/>
        </w:rPr>
      </w:pPr>
      <w:r>
        <w:rPr>
          <w:rFonts w:ascii="仿宋" w:hAnsi="仿宋" w:eastAsia="仿宋"/>
          <w:sz w:val="32"/>
          <w:szCs w:val="32"/>
        </w:rPr>
        <w:t>（四）接驳船舶需听从甲方及现场调度管理人员指挥，不抢档不插队，否则该船舶将被纳入甲方接驳船舶黑名单。</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（五）接驳船舶如出现非法过驳的现象，一经发现则该船舶将被纳入甲方接驳船舶黑名单，并取消乙方的接驳资格。</w:t>
      </w:r>
    </w:p>
    <w:p>
      <w:pPr>
        <w:spacing w:line="360" w:lineRule="auto"/>
        <w:ind w:firstLine="640" w:firstLineChars="200"/>
        <w:rPr>
          <w:rFonts w:hint="default" w:ascii="仿宋" w:hAnsi="仿宋" w:eastAsia="仿宋"/>
          <w:sz w:val="32"/>
          <w:szCs w:val="32"/>
        </w:rPr>
      </w:pPr>
      <w:r>
        <w:rPr>
          <w:rFonts w:ascii="仿宋" w:hAnsi="仿宋" w:eastAsia="仿宋"/>
          <w:sz w:val="32"/>
          <w:szCs w:val="32"/>
        </w:rPr>
        <w:t>（六）被纳入黑名单的接驳船舶，如确需解除黑名单的，应由乙方出具保证书，经甲方综合考虑后可移出黑名单。</w:t>
      </w:r>
    </w:p>
    <w:p>
      <w:pPr>
        <w:spacing w:line="360" w:lineRule="auto"/>
        <w:ind w:firstLine="640" w:firstLineChars="200"/>
        <w:rPr>
          <w:rFonts w:hint="default" w:ascii="仿宋" w:hAnsi="仿宋" w:eastAsia="仿宋"/>
          <w:sz w:val="32"/>
          <w:szCs w:val="32"/>
        </w:rPr>
      </w:pPr>
      <w:r>
        <w:rPr>
          <w:rFonts w:ascii="黑体" w:hAnsi="黑体" w:eastAsia="黑体"/>
          <w:sz w:val="32"/>
          <w:szCs w:val="32"/>
        </w:rPr>
        <w:t>七、违约责任</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（一）乙方应配备每日不低于</w:t>
      </w:r>
      <w:r>
        <w:rPr>
          <w:rFonts w:hint="default" w:ascii="仿宋" w:hAnsi="仿宋" w:eastAsia="仿宋"/>
          <w:sz w:val="32"/>
          <w:szCs w:val="32"/>
          <w:u w:val="single"/>
        </w:rPr>
        <w:t xml:space="preserve"> </w:t>
      </w:r>
      <w:r>
        <w:rPr>
          <w:rFonts w:ascii="仿宋" w:hAnsi="仿宋" w:eastAsia="仿宋"/>
          <w:sz w:val="32"/>
          <w:szCs w:val="32"/>
          <w:u w:val="single"/>
        </w:rPr>
        <w:t>8000</w:t>
      </w:r>
      <w:r>
        <w:rPr>
          <w:rFonts w:hint="default" w:ascii="仿宋" w:hAnsi="仿宋" w:eastAsia="仿宋"/>
          <w:sz w:val="32"/>
          <w:szCs w:val="32"/>
          <w:u w:val="single"/>
        </w:rPr>
        <w:t xml:space="preserve"> </w:t>
      </w:r>
      <w:r>
        <w:rPr>
          <w:rFonts w:ascii="仿宋" w:hAnsi="仿宋" w:eastAsia="仿宋"/>
          <w:sz w:val="32"/>
          <w:szCs w:val="32"/>
        </w:rPr>
        <w:t>吨运力的运输接驳船舶，若乙方在砂石交付过程中出现懈怠（</w:t>
      </w:r>
      <w:r>
        <w:rPr>
          <w:rFonts w:ascii="仿宋" w:hAnsi="仿宋" w:eastAsia="仿宋"/>
          <w:sz w:val="32"/>
          <w:szCs w:val="32"/>
          <w:highlight w:val="none"/>
        </w:rPr>
        <w:t>如连续二日未</w:t>
      </w:r>
      <w:r>
        <w:rPr>
          <w:rFonts w:ascii="仿宋" w:hAnsi="仿宋" w:eastAsia="仿宋"/>
          <w:sz w:val="32"/>
          <w:szCs w:val="32"/>
        </w:rPr>
        <w:t>达到前述运力）等行为，甲方有权单方解除合同</w:t>
      </w:r>
      <w:bookmarkStart w:id="2" w:name="_Hlk149591992"/>
      <w:r>
        <w:rPr>
          <w:rFonts w:ascii="仿宋" w:hAnsi="仿宋" w:eastAsia="仿宋"/>
          <w:sz w:val="32"/>
          <w:szCs w:val="32"/>
        </w:rPr>
        <w:t>并要求</w:t>
      </w:r>
      <w:bookmarkEnd w:id="2"/>
      <w:r>
        <w:rPr>
          <w:rFonts w:ascii="仿宋" w:hAnsi="仿宋" w:eastAsia="仿宋"/>
          <w:sz w:val="32"/>
          <w:szCs w:val="32"/>
        </w:rPr>
        <w:t>乙方按照购砂款20%的标准支付违约金。</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（二）在销售合同履约过程中，如乙方出现违约行为，甲方有权单方解除合同并要求乙方按照购砂款20%的标准支付违约金。</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（三）</w:t>
      </w:r>
      <w:bookmarkStart w:id="3" w:name="_Hlk166093748"/>
      <w:r>
        <w:rPr>
          <w:rFonts w:ascii="仿宋" w:hAnsi="仿宋" w:eastAsia="仿宋"/>
          <w:sz w:val="32"/>
          <w:szCs w:val="32"/>
        </w:rPr>
        <w:t>因乙方原因导致不能按合同约定期限完成交货任务的</w:t>
      </w:r>
      <w:r>
        <w:rPr>
          <w:rFonts w:ascii="仿宋" w:hAnsi="仿宋" w:eastAsia="仿宋"/>
          <w:sz w:val="32"/>
          <w:szCs w:val="32"/>
          <w:highlight w:val="none"/>
        </w:rPr>
        <w:t>，视为乙方违约，甲方有权单方解除合同并要求乙方按照购砂款20%的标准支付违约金。</w:t>
      </w:r>
      <w:bookmarkEnd w:id="3"/>
    </w:p>
    <w:p>
      <w:pPr>
        <w:spacing w:line="360" w:lineRule="auto"/>
        <w:ind w:firstLine="640" w:firstLineChars="200"/>
        <w:rPr>
          <w:rFonts w:hint="default" w:ascii="仿宋" w:hAnsi="仿宋" w:eastAsia="仿宋"/>
          <w:sz w:val="32"/>
          <w:szCs w:val="32"/>
        </w:rPr>
      </w:pPr>
      <w:r>
        <w:rPr>
          <w:rFonts w:ascii="仿宋" w:hAnsi="仿宋" w:eastAsia="仿宋"/>
          <w:sz w:val="32"/>
          <w:szCs w:val="32"/>
        </w:rPr>
        <w:t xml:space="preserve">（四）甲方或乙方因不可抗力或受政策影响需提前解除合同的,应及时通知对方，经协商一致后办理解除合同手续，双方互相不承担违约责任。 </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（五）因工程船故障、管道爆裂、供货量不足等原因导致采区不能交货的，不视为甲方违约。</w:t>
      </w:r>
    </w:p>
    <w:p>
      <w:pPr>
        <w:spacing w:line="360" w:lineRule="auto"/>
        <w:ind w:firstLine="640" w:firstLineChars="200"/>
        <w:rPr>
          <w:rFonts w:hint="default" w:ascii="黑体" w:hAnsi="黑体" w:eastAsia="黑体"/>
          <w:sz w:val="32"/>
          <w:szCs w:val="32"/>
        </w:rPr>
      </w:pPr>
      <w:r>
        <w:rPr>
          <w:rFonts w:ascii="黑体" w:hAnsi="黑体" w:eastAsia="黑体"/>
          <w:sz w:val="32"/>
          <w:szCs w:val="32"/>
        </w:rPr>
        <w:t>八、不可抗力</w:t>
      </w:r>
    </w:p>
    <w:p>
      <w:pPr>
        <w:spacing w:line="360" w:lineRule="auto"/>
        <w:ind w:firstLine="640" w:firstLineChars="200"/>
        <w:rPr>
          <w:rFonts w:hint="default" w:ascii="仿宋" w:hAnsi="仿宋" w:eastAsia="仿宋"/>
          <w:sz w:val="32"/>
          <w:szCs w:val="32"/>
        </w:rPr>
      </w:pPr>
      <w:r>
        <w:rPr>
          <w:rFonts w:ascii="仿宋" w:hAnsi="仿宋" w:eastAsia="仿宋"/>
          <w:sz w:val="32"/>
          <w:szCs w:val="32"/>
        </w:rPr>
        <w:t>如因法律变更、政策变化、自然灾害等不可抗力或其他不可预见因素（包括但不限于运输航道水位下降、采区产能受限、规划限制或上级政策等）导致本合同不能履行的，甲方不承担任何违约责任，也不做任何其他补偿，并由乙方自行承担相应的经济风险。</w:t>
      </w:r>
    </w:p>
    <w:p>
      <w:pPr>
        <w:spacing w:line="360" w:lineRule="auto"/>
        <w:ind w:firstLine="640" w:firstLineChars="200"/>
        <w:rPr>
          <w:rFonts w:hint="default" w:ascii="仿宋" w:hAnsi="仿宋" w:eastAsia="仿宋"/>
          <w:bCs/>
          <w:sz w:val="32"/>
          <w:szCs w:val="32"/>
        </w:rPr>
      </w:pPr>
      <w:r>
        <w:rPr>
          <w:rFonts w:ascii="黑体" w:hAnsi="黑体" w:eastAsia="黑体"/>
          <w:bCs/>
          <w:sz w:val="32"/>
          <w:szCs w:val="32"/>
        </w:rPr>
        <w:t>九、送达及效力约定</w:t>
      </w:r>
    </w:p>
    <w:p>
      <w:pPr>
        <w:spacing w:line="360" w:lineRule="auto"/>
        <w:ind w:firstLine="640" w:firstLineChars="200"/>
        <w:rPr>
          <w:rFonts w:hint="default" w:ascii="仿宋" w:hAnsi="仿宋" w:eastAsia="仿宋"/>
          <w:sz w:val="32"/>
          <w:szCs w:val="32"/>
        </w:rPr>
      </w:pPr>
      <w:r>
        <w:rPr>
          <w:rFonts w:ascii="仿宋" w:hAnsi="仿宋" w:eastAsia="仿宋"/>
          <w:sz w:val="32"/>
          <w:szCs w:val="32"/>
        </w:rPr>
        <w:t>（一）甲、乙双方在本合同首页主体栏中记载的联系地址、联系人、联系电话等联系方式真实、有效，任何一方因本合同相关事宜发出的所有文件，均应通过上述联系方式采用书面形式（包括且不限于微信、QQ、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（二）甲乙双方承诺：自愿承担依据前述联系方式送达的法律后果</w:t>
      </w:r>
      <w:bookmarkStart w:id="4" w:name="_Hlk120893248"/>
      <w:r>
        <w:rPr>
          <w:rFonts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4"/>
      <w:r>
        <w:rPr>
          <w:rFonts w:ascii="仿宋" w:hAnsi="仿宋" w:eastAsia="仿宋"/>
          <w:sz w:val="32"/>
          <w:szCs w:val="32"/>
        </w:rPr>
        <w:t>留置在该地址之日为送达之日，邮寄送达的，邮件被退回之日为送达之日。</w:t>
      </w:r>
    </w:p>
    <w:p>
      <w:pPr>
        <w:spacing w:line="360" w:lineRule="auto"/>
        <w:ind w:firstLine="640" w:firstLineChars="200"/>
        <w:rPr>
          <w:rFonts w:hint="default" w:ascii="黑体" w:hAnsi="黑体" w:eastAsia="黑体"/>
          <w:bCs/>
          <w:sz w:val="32"/>
          <w:szCs w:val="32"/>
        </w:rPr>
      </w:pPr>
      <w:r>
        <w:rPr>
          <w:rFonts w:ascii="黑体" w:hAnsi="黑体" w:eastAsia="黑体"/>
          <w:bCs/>
          <w:sz w:val="32"/>
          <w:szCs w:val="32"/>
        </w:rPr>
        <w:t>十、争议的解决方式</w:t>
      </w:r>
    </w:p>
    <w:p>
      <w:pPr>
        <w:spacing w:line="360" w:lineRule="auto"/>
        <w:ind w:firstLine="640" w:firstLineChars="200"/>
        <w:rPr>
          <w:rFonts w:hint="default" w:ascii="仿宋" w:hAnsi="仿宋" w:eastAsia="仿宋"/>
          <w:sz w:val="32"/>
          <w:szCs w:val="32"/>
        </w:rPr>
      </w:pPr>
      <w:r>
        <w:rPr>
          <w:rFonts w:ascii="仿宋" w:hAnsi="仿宋" w:eastAsia="仿宋"/>
          <w:sz w:val="32"/>
          <w:szCs w:val="32"/>
        </w:rPr>
        <w:t>甲、乙双方在履行本合同过程中若发生争议，应当及时协商解决；协商不成的，任何一方均应向甲方所在地松滋市人民法院提起诉讼。</w:t>
      </w:r>
    </w:p>
    <w:p>
      <w:pPr>
        <w:spacing w:line="360" w:lineRule="auto"/>
        <w:ind w:firstLine="640" w:firstLineChars="200"/>
        <w:rPr>
          <w:rFonts w:hint="default" w:ascii="黑体" w:hAnsi="黑体" w:eastAsia="黑体"/>
          <w:bCs/>
          <w:sz w:val="32"/>
          <w:szCs w:val="32"/>
        </w:rPr>
      </w:pPr>
      <w:r>
        <w:rPr>
          <w:rFonts w:ascii="黑体" w:hAnsi="黑体" w:eastAsia="黑体"/>
          <w:bCs/>
          <w:sz w:val="32"/>
          <w:szCs w:val="32"/>
        </w:rPr>
        <w:t>十一、其他</w:t>
      </w:r>
    </w:p>
    <w:p>
      <w:pPr>
        <w:spacing w:line="360" w:lineRule="auto"/>
        <w:ind w:firstLine="640" w:firstLineChars="200"/>
        <w:rPr>
          <w:rFonts w:hint="default" w:ascii="仿宋" w:hAnsi="仿宋" w:eastAsia="仿宋"/>
          <w:sz w:val="32"/>
          <w:szCs w:val="32"/>
        </w:rPr>
      </w:pPr>
      <w:r>
        <w:rPr>
          <w:rFonts w:ascii="仿宋" w:hAnsi="仿宋" w:eastAsia="仿宋"/>
          <w:bCs/>
          <w:sz w:val="32"/>
          <w:szCs w:val="32"/>
        </w:rPr>
        <w:t>（一）</w:t>
      </w:r>
      <w:r>
        <w:rPr>
          <w:rFonts w:ascii="仿宋" w:hAnsi="仿宋" w:eastAsia="仿宋"/>
          <w:sz w:val="32"/>
          <w:szCs w:val="32"/>
        </w:rPr>
        <w:t>本合同由甲乙双方</w:t>
      </w:r>
      <w:r>
        <w:rPr>
          <w:rFonts w:ascii="仿宋" w:hAnsi="仿宋" w:eastAsia="仿宋"/>
          <w:sz w:val="32"/>
          <w:szCs w:val="32"/>
          <w:u w:val="single"/>
        </w:rPr>
        <w:t>签字、盖章后</w:t>
      </w:r>
      <w:r>
        <w:rPr>
          <w:rFonts w:ascii="仿宋" w:hAnsi="仿宋" w:eastAsia="仿宋"/>
          <w:sz w:val="32"/>
          <w:szCs w:val="32"/>
        </w:rPr>
        <w:t>生效。</w:t>
      </w:r>
    </w:p>
    <w:p>
      <w:pPr>
        <w:spacing w:line="360" w:lineRule="auto"/>
        <w:ind w:firstLine="640" w:firstLineChars="200"/>
        <w:rPr>
          <w:rFonts w:hint="default" w:ascii="仿宋" w:hAnsi="仿宋" w:eastAsia="仿宋"/>
          <w:sz w:val="32"/>
          <w:szCs w:val="32"/>
        </w:rPr>
      </w:pPr>
      <w:r>
        <w:rPr>
          <w:rFonts w:ascii="仿宋" w:hAnsi="仿宋" w:eastAsia="仿宋"/>
          <w:sz w:val="32"/>
          <w:szCs w:val="32"/>
        </w:rPr>
        <w:t>（二）本合同一式陆份，甲方执叁份，乙方执叁份，具有同等法律效力，未尽事宜，甲乙双方可另行约定并签订补充协议，补充协议与本合同具有同等法律效力。</w:t>
      </w:r>
    </w:p>
    <w:p>
      <w:pPr>
        <w:spacing w:line="360" w:lineRule="auto"/>
        <w:ind w:firstLine="640" w:firstLineChars="200"/>
        <w:rPr>
          <w:rFonts w:hint="default" w:ascii="仿宋" w:hAnsi="仿宋" w:eastAsia="仿宋"/>
          <w:sz w:val="32"/>
          <w:szCs w:val="32"/>
        </w:rPr>
      </w:pPr>
      <w:r>
        <w:rPr>
          <w:rFonts w:ascii="仿宋" w:hAnsi="仿宋" w:eastAsia="仿宋"/>
          <w:sz w:val="32"/>
          <w:szCs w:val="32"/>
        </w:rPr>
        <w:t>（以下无正文）</w:t>
      </w:r>
    </w:p>
    <w:p>
      <w:pPr>
        <w:spacing w:line="540" w:lineRule="exact"/>
        <w:rPr>
          <w:rFonts w:hint="default"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540" w:lineRule="exact"/>
        <w:ind w:firstLine="640" w:firstLineChars="200"/>
        <w:rPr>
          <w:rFonts w:hint="default" w:ascii="仿宋" w:hAnsi="仿宋" w:eastAsia="仿宋"/>
          <w:sz w:val="32"/>
          <w:szCs w:val="32"/>
        </w:rPr>
      </w:pPr>
    </w:p>
    <w:p>
      <w:pPr>
        <w:spacing w:line="540" w:lineRule="exact"/>
        <w:ind w:firstLine="640" w:firstLineChars="200"/>
        <w:rPr>
          <w:rFonts w:hint="default" w:ascii="仿宋" w:hAnsi="仿宋" w:eastAsia="仿宋"/>
          <w:sz w:val="32"/>
          <w:szCs w:val="32"/>
        </w:rPr>
      </w:pPr>
      <w:r>
        <w:rPr>
          <w:rFonts w:ascii="仿宋" w:hAnsi="仿宋" w:eastAsia="仿宋"/>
          <w:sz w:val="32"/>
          <w:szCs w:val="32"/>
        </w:rPr>
        <w:t>甲方（盖章）：</w:t>
      </w:r>
    </w:p>
    <w:p>
      <w:pPr>
        <w:spacing w:line="540" w:lineRule="exact"/>
        <w:ind w:firstLine="640" w:firstLineChars="200"/>
        <w:rPr>
          <w:rFonts w:hint="default" w:ascii="仿宋" w:hAnsi="仿宋" w:eastAsia="仿宋"/>
          <w:sz w:val="32"/>
          <w:szCs w:val="32"/>
        </w:rPr>
      </w:pPr>
      <w:r>
        <w:rPr>
          <w:rFonts w:ascii="仿宋" w:hAnsi="仿宋" w:eastAsia="仿宋"/>
          <w:sz w:val="32"/>
          <w:szCs w:val="32"/>
        </w:rPr>
        <w:t>法定代表人（签名）：</w:t>
      </w:r>
    </w:p>
    <w:p>
      <w:pPr>
        <w:spacing w:line="540" w:lineRule="exact"/>
        <w:ind w:firstLine="640" w:firstLineChars="200"/>
        <w:rPr>
          <w:rFonts w:hint="default" w:ascii="仿宋" w:hAnsi="仿宋" w:eastAsia="仿宋"/>
          <w:sz w:val="32"/>
          <w:szCs w:val="32"/>
        </w:rPr>
      </w:pPr>
      <w:r>
        <w:rPr>
          <w:rFonts w:ascii="仿宋" w:hAnsi="仿宋" w:eastAsia="仿宋"/>
          <w:sz w:val="32"/>
          <w:szCs w:val="32"/>
        </w:rPr>
        <w:t>委托代理人（签名）：</w:t>
      </w:r>
    </w:p>
    <w:p>
      <w:pPr>
        <w:spacing w:line="540" w:lineRule="exact"/>
        <w:ind w:firstLine="640" w:firstLineChars="200"/>
        <w:rPr>
          <w:rFonts w:hint="default" w:ascii="仿宋" w:hAnsi="仿宋" w:eastAsia="仿宋"/>
          <w:sz w:val="32"/>
          <w:szCs w:val="32"/>
        </w:rPr>
      </w:pPr>
    </w:p>
    <w:p>
      <w:pPr>
        <w:spacing w:line="540" w:lineRule="exact"/>
        <w:ind w:firstLine="640" w:firstLineChars="200"/>
        <w:rPr>
          <w:rFonts w:hint="default" w:ascii="仿宋" w:hAnsi="仿宋" w:eastAsia="仿宋"/>
          <w:sz w:val="32"/>
          <w:szCs w:val="32"/>
        </w:rPr>
      </w:pPr>
    </w:p>
    <w:p>
      <w:pPr>
        <w:spacing w:line="540" w:lineRule="exact"/>
        <w:ind w:firstLine="640" w:firstLineChars="200"/>
        <w:rPr>
          <w:rFonts w:hint="default" w:ascii="仿宋" w:hAnsi="仿宋" w:eastAsia="仿宋"/>
          <w:sz w:val="32"/>
          <w:szCs w:val="32"/>
        </w:rPr>
      </w:pPr>
    </w:p>
    <w:p>
      <w:pPr>
        <w:spacing w:line="540" w:lineRule="exact"/>
        <w:ind w:firstLine="640" w:firstLineChars="200"/>
        <w:rPr>
          <w:rFonts w:hint="default" w:ascii="仿宋" w:hAnsi="仿宋" w:eastAsia="仿宋"/>
          <w:sz w:val="32"/>
          <w:szCs w:val="32"/>
        </w:rPr>
      </w:pPr>
      <w:r>
        <w:rPr>
          <w:rFonts w:ascii="仿宋" w:hAnsi="仿宋" w:eastAsia="仿宋"/>
          <w:sz w:val="32"/>
          <w:szCs w:val="32"/>
        </w:rPr>
        <w:t xml:space="preserve">乙方（盖章）： </w:t>
      </w:r>
    </w:p>
    <w:p>
      <w:pPr>
        <w:spacing w:line="540" w:lineRule="exact"/>
        <w:ind w:firstLine="640" w:firstLineChars="200"/>
        <w:rPr>
          <w:rFonts w:hint="default" w:ascii="仿宋" w:hAnsi="仿宋" w:eastAsia="仿宋"/>
          <w:sz w:val="32"/>
          <w:szCs w:val="32"/>
        </w:rPr>
      </w:pPr>
      <w:r>
        <w:rPr>
          <w:rFonts w:ascii="仿宋" w:hAnsi="仿宋" w:eastAsia="仿宋"/>
          <w:sz w:val="32"/>
          <w:szCs w:val="32"/>
        </w:rPr>
        <w:t xml:space="preserve">法定代表人（签名）： </w:t>
      </w:r>
    </w:p>
    <w:p>
      <w:pPr>
        <w:spacing w:line="540" w:lineRule="exact"/>
        <w:ind w:firstLine="640" w:firstLineChars="200"/>
        <w:rPr>
          <w:rFonts w:hint="default" w:ascii="仿宋" w:hAnsi="仿宋" w:eastAsia="仿宋"/>
          <w:sz w:val="32"/>
          <w:szCs w:val="32"/>
        </w:rPr>
      </w:pPr>
      <w:r>
        <w:rPr>
          <w:rFonts w:ascii="仿宋" w:hAnsi="仿宋" w:eastAsia="仿宋"/>
          <w:sz w:val="32"/>
          <w:szCs w:val="32"/>
        </w:rPr>
        <w:t>委托代理人（签名）：</w:t>
      </w:r>
    </w:p>
    <w:p>
      <w:pPr>
        <w:spacing w:line="540" w:lineRule="exact"/>
        <w:ind w:firstLine="640" w:firstLineChars="200"/>
        <w:rPr>
          <w:rFonts w:hint="default" w:ascii="仿宋" w:hAnsi="仿宋" w:eastAsia="仿宋"/>
          <w:sz w:val="32"/>
          <w:szCs w:val="32"/>
        </w:rPr>
      </w:pPr>
    </w:p>
    <w:p>
      <w:pPr>
        <w:pStyle w:val="2"/>
        <w:rPr>
          <w:rFonts w:hint="default"/>
        </w:rPr>
      </w:pPr>
    </w:p>
    <w:p>
      <w:pPr>
        <w:spacing w:line="540" w:lineRule="exact"/>
        <w:ind w:firstLine="640" w:firstLineChars="200"/>
        <w:jc w:val="right"/>
        <w:rPr>
          <w:rFonts w:hint="default" w:ascii="仿宋" w:hAnsi="仿宋" w:eastAsia="仿宋"/>
          <w:sz w:val="32"/>
          <w:szCs w:val="32"/>
        </w:rPr>
      </w:pPr>
      <w:r>
        <w:rPr>
          <w:rFonts w:ascii="仿宋" w:hAnsi="仿宋" w:eastAsia="仿宋"/>
          <w:sz w:val="32"/>
          <w:szCs w:val="32"/>
        </w:rPr>
        <w:t>签订日期：   年   月   日</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BD0EC-698B-4EE5-BF7B-402168B3F5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6D7E4E5-79DE-4582-A11D-7FB7945C964F}"/>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3" w:fontKey="{C1908B26-D521-4FD0-A9C6-88040FD72658}"/>
  </w:font>
  <w:font w:name="方正黑体_GBK">
    <w:panose1 w:val="03000509000000000000"/>
    <w:charset w:val="86"/>
    <w:family w:val="script"/>
    <w:pitch w:val="default"/>
    <w:sig w:usb0="00000001" w:usb1="080E0000" w:usb2="00000000" w:usb3="00000000" w:csb0="00040000" w:csb1="00000000"/>
    <w:embedRegular r:id="rId4" w:fontKey="{3BDAD802-E8AA-4495-92A1-30095D90EB79}"/>
  </w:font>
  <w:font w:name="仿宋">
    <w:panose1 w:val="02010609060101010101"/>
    <w:charset w:val="86"/>
    <w:family w:val="modern"/>
    <w:pitch w:val="default"/>
    <w:sig w:usb0="800002BF" w:usb1="38CF7CFA" w:usb2="00000016" w:usb3="00000000" w:csb0="00040001" w:csb1="00000000"/>
    <w:embedRegular r:id="rId5" w:fontKey="{F29B9D03-3F21-4677-972D-7CB92A6A93BC}"/>
  </w:font>
  <w:font w:name="方正仿宋_GBK">
    <w:panose1 w:val="03000509000000000000"/>
    <w:charset w:val="86"/>
    <w:family w:val="script"/>
    <w:pitch w:val="default"/>
    <w:sig w:usb0="00000001" w:usb1="080E0000" w:usb2="00000000" w:usb3="00000000" w:csb0="00040000" w:csb1="00000000"/>
    <w:embedRegular r:id="rId6" w:fontKey="{1FBFA938-7F40-44C9-B481-7C53087535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Y2Y3M2NkZTA2N2UxYzc1ZjMxZjQ1ZmY1YzJjZDUifQ=="/>
  </w:docVars>
  <w:rsids>
    <w:rsidRoot w:val="00B0342C"/>
    <w:rsid w:val="00011C61"/>
    <w:rsid w:val="000403EC"/>
    <w:rsid w:val="00044E11"/>
    <w:rsid w:val="00070E90"/>
    <w:rsid w:val="00073BFE"/>
    <w:rsid w:val="00077B7D"/>
    <w:rsid w:val="00086AC2"/>
    <w:rsid w:val="000B6FB4"/>
    <w:rsid w:val="001031B8"/>
    <w:rsid w:val="00151C06"/>
    <w:rsid w:val="001B3946"/>
    <w:rsid w:val="0020611B"/>
    <w:rsid w:val="002143C9"/>
    <w:rsid w:val="00216021"/>
    <w:rsid w:val="0022484B"/>
    <w:rsid w:val="00320E7A"/>
    <w:rsid w:val="00337FB6"/>
    <w:rsid w:val="00364F50"/>
    <w:rsid w:val="003814B0"/>
    <w:rsid w:val="00381F96"/>
    <w:rsid w:val="003828AA"/>
    <w:rsid w:val="003B330E"/>
    <w:rsid w:val="003D286E"/>
    <w:rsid w:val="003E540F"/>
    <w:rsid w:val="00405F7B"/>
    <w:rsid w:val="00426343"/>
    <w:rsid w:val="00441022"/>
    <w:rsid w:val="00483F9B"/>
    <w:rsid w:val="004B2F6C"/>
    <w:rsid w:val="00502558"/>
    <w:rsid w:val="00513F66"/>
    <w:rsid w:val="00526C34"/>
    <w:rsid w:val="00580E14"/>
    <w:rsid w:val="00580FC6"/>
    <w:rsid w:val="00613627"/>
    <w:rsid w:val="00613FD3"/>
    <w:rsid w:val="006274FE"/>
    <w:rsid w:val="006860AB"/>
    <w:rsid w:val="006B5B7F"/>
    <w:rsid w:val="006B6C8F"/>
    <w:rsid w:val="006C37B9"/>
    <w:rsid w:val="006F1001"/>
    <w:rsid w:val="007148C0"/>
    <w:rsid w:val="0075428C"/>
    <w:rsid w:val="00761AB8"/>
    <w:rsid w:val="007854B2"/>
    <w:rsid w:val="00792D70"/>
    <w:rsid w:val="007A6C2E"/>
    <w:rsid w:val="007B6705"/>
    <w:rsid w:val="007C0FDE"/>
    <w:rsid w:val="007C3212"/>
    <w:rsid w:val="008140A9"/>
    <w:rsid w:val="008321C1"/>
    <w:rsid w:val="00841902"/>
    <w:rsid w:val="0085638A"/>
    <w:rsid w:val="008A1766"/>
    <w:rsid w:val="008D70CB"/>
    <w:rsid w:val="009029CB"/>
    <w:rsid w:val="00925B7A"/>
    <w:rsid w:val="00931C33"/>
    <w:rsid w:val="00945AFB"/>
    <w:rsid w:val="00952D73"/>
    <w:rsid w:val="00965FBD"/>
    <w:rsid w:val="00966DC9"/>
    <w:rsid w:val="00976A2F"/>
    <w:rsid w:val="009E7018"/>
    <w:rsid w:val="00A14490"/>
    <w:rsid w:val="00A16066"/>
    <w:rsid w:val="00A356ED"/>
    <w:rsid w:val="00A5590D"/>
    <w:rsid w:val="00A55E42"/>
    <w:rsid w:val="00A84467"/>
    <w:rsid w:val="00A9381C"/>
    <w:rsid w:val="00AB3821"/>
    <w:rsid w:val="00AC7157"/>
    <w:rsid w:val="00AF1A87"/>
    <w:rsid w:val="00AF52CA"/>
    <w:rsid w:val="00B0342C"/>
    <w:rsid w:val="00B1002F"/>
    <w:rsid w:val="00B45EE6"/>
    <w:rsid w:val="00B62D59"/>
    <w:rsid w:val="00B7049B"/>
    <w:rsid w:val="00B82A6B"/>
    <w:rsid w:val="00BF338A"/>
    <w:rsid w:val="00C7676E"/>
    <w:rsid w:val="00C803B9"/>
    <w:rsid w:val="00CD0833"/>
    <w:rsid w:val="00CD0BC5"/>
    <w:rsid w:val="00CD343A"/>
    <w:rsid w:val="00D02DE4"/>
    <w:rsid w:val="00D15AEC"/>
    <w:rsid w:val="00D377C9"/>
    <w:rsid w:val="00D61FFC"/>
    <w:rsid w:val="00D63568"/>
    <w:rsid w:val="00D736DC"/>
    <w:rsid w:val="00DB6600"/>
    <w:rsid w:val="00DC2D2A"/>
    <w:rsid w:val="00DE3CD7"/>
    <w:rsid w:val="00DF5AF1"/>
    <w:rsid w:val="00DF7C7A"/>
    <w:rsid w:val="00E00B2E"/>
    <w:rsid w:val="00E05161"/>
    <w:rsid w:val="00E0716F"/>
    <w:rsid w:val="00E75F38"/>
    <w:rsid w:val="00ED0356"/>
    <w:rsid w:val="00ED41C4"/>
    <w:rsid w:val="00F104A7"/>
    <w:rsid w:val="00F13E35"/>
    <w:rsid w:val="00F5622F"/>
    <w:rsid w:val="00F61FD9"/>
    <w:rsid w:val="00FA1A99"/>
    <w:rsid w:val="00FD10DD"/>
    <w:rsid w:val="00FE13AF"/>
    <w:rsid w:val="00FE311C"/>
    <w:rsid w:val="052120A3"/>
    <w:rsid w:val="0C4F06FF"/>
    <w:rsid w:val="0F072309"/>
    <w:rsid w:val="117874EE"/>
    <w:rsid w:val="13B34EDC"/>
    <w:rsid w:val="1B862808"/>
    <w:rsid w:val="29D74C52"/>
    <w:rsid w:val="3F8B4B73"/>
    <w:rsid w:val="3FC45529"/>
    <w:rsid w:val="4D5A2480"/>
    <w:rsid w:val="540C5299"/>
    <w:rsid w:val="567F1D52"/>
    <w:rsid w:val="5E780D6E"/>
    <w:rsid w:val="69603C65"/>
    <w:rsid w:val="706F2ED8"/>
    <w:rsid w:val="7B2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semiHidden/>
    <w:unhideWhenUsed/>
    <w:qFormat/>
    <w:uiPriority w:val="99"/>
    <w:pPr>
      <w:spacing w:after="120"/>
    </w:pPr>
  </w:style>
  <w:style w:type="paragraph" w:styleId="3">
    <w:name w:val="footer"/>
    <w:basedOn w:val="1"/>
    <w:link w:val="8"/>
    <w:autoRedefine/>
    <w:unhideWhenUsed/>
    <w:qFormat/>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正文文本 字符"/>
    <w:basedOn w:val="6"/>
    <w:link w:val="2"/>
    <w:autoRedefine/>
    <w:semiHidden/>
    <w:qFormat/>
    <w:uiPriority w:val="99"/>
    <w:rPr>
      <w:rFonts w:ascii="Calibri" w:hAnsi="Calibri" w:eastAsia="宋体"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459</Words>
  <Characters>2620</Characters>
  <Lines>21</Lines>
  <Paragraphs>6</Paragraphs>
  <TotalTime>10</TotalTime>
  <ScaleCrop>false</ScaleCrop>
  <LinksUpToDate>false</LinksUpToDate>
  <CharactersWithSpaces>3073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2024-02-04T02:40:00Z</dcterms:created>
  <dc:creator>Administrator</dc:creator>
  <cp:lastModifiedBy>Ball</cp:lastModifiedBy>
  <cp:lastPrinted>2024-05-17T09:28:37Z</cp:lastPrinted>
  <dcterms:modified xsi:type="dcterms:W3CDTF">2024-05-17T09:39:22Z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14FCD68C07714EF99BB56C82E083BF1A_13</vt:lpwstr>
  </property>
</Properties>
</file>